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63ED" w14:textId="77777777" w:rsidR="00380F5A" w:rsidRDefault="00000000">
      <w:pPr>
        <w:pStyle w:val="Ttulo1"/>
        <w:spacing w:before="76"/>
        <w:ind w:left="0" w:right="32"/>
        <w:jc w:val="center"/>
      </w:pPr>
      <w:r>
        <w:rPr>
          <w:spacing w:val="-2"/>
        </w:rPr>
        <w:t>Minuta</w:t>
      </w:r>
    </w:p>
    <w:p w14:paraId="44D46891" w14:textId="77777777" w:rsidR="00380F5A" w:rsidRDefault="00000000">
      <w:pPr>
        <w:pStyle w:val="Textoindependiente"/>
        <w:spacing w:before="38"/>
        <w:ind w:right="32"/>
        <w:jc w:val="center"/>
      </w:pPr>
      <w:r>
        <w:t>Congreso</w:t>
      </w:r>
      <w:r>
        <w:rPr>
          <w:spacing w:val="-10"/>
        </w:rPr>
        <w:t xml:space="preserve"> </w:t>
      </w:r>
      <w:r>
        <w:t>Latinoamericano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investigación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rPr>
          <w:spacing w:val="-2"/>
        </w:rPr>
        <w:t>interdisciplinaria</w:t>
      </w:r>
    </w:p>
    <w:p w14:paraId="23BC6B0E" w14:textId="77777777" w:rsidR="00380F5A" w:rsidRDefault="00380F5A">
      <w:pPr>
        <w:pStyle w:val="Textoindependiente"/>
      </w:pPr>
    </w:p>
    <w:p w14:paraId="0E63AC8A" w14:textId="77777777" w:rsidR="00380F5A" w:rsidRDefault="00380F5A">
      <w:pPr>
        <w:pStyle w:val="Textoindependiente"/>
        <w:spacing w:before="114"/>
      </w:pPr>
    </w:p>
    <w:p w14:paraId="20DEE34E" w14:textId="77777777" w:rsidR="00380F5A" w:rsidRDefault="00000000">
      <w:pPr>
        <w:pStyle w:val="Ttulo1"/>
        <w:ind w:left="0" w:right="32"/>
        <w:jc w:val="center"/>
      </w:pPr>
      <w:r>
        <w:t>Mesa</w:t>
      </w:r>
      <w:r>
        <w:rPr>
          <w:spacing w:val="-8"/>
        </w:rPr>
        <w:t xml:space="preserve"> </w:t>
      </w:r>
      <w:r>
        <w:t>“Procesos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institucionalización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ID-TD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rPr>
          <w:spacing w:val="-2"/>
        </w:rPr>
        <w:t>superior”</w:t>
      </w:r>
    </w:p>
    <w:p w14:paraId="21C2F184" w14:textId="77777777" w:rsidR="00380F5A" w:rsidRDefault="00380F5A">
      <w:pPr>
        <w:pStyle w:val="Textoindependiente"/>
        <w:spacing w:before="75"/>
        <w:rPr>
          <w:rFonts w:ascii="Arial"/>
          <w:b/>
        </w:rPr>
      </w:pPr>
    </w:p>
    <w:p w14:paraId="4EB8280C" w14:textId="77777777" w:rsidR="00380F5A" w:rsidRDefault="00000000">
      <w:pPr>
        <w:pStyle w:val="Textoindependiente"/>
        <w:spacing w:before="1" w:line="276" w:lineRule="auto"/>
        <w:ind w:left="940" w:right="972"/>
        <w:jc w:val="both"/>
      </w:pPr>
      <w:r>
        <w:t>El crecimiento exponencial de las publicaciones sobre transdisciplina contrasta con su escasa validación institucional en algunas latitudes y su integración como marco o</w:t>
      </w:r>
      <w:r>
        <w:rPr>
          <w:spacing w:val="-3"/>
        </w:rPr>
        <w:t xml:space="preserve"> </w:t>
      </w:r>
      <w:r>
        <w:t>práctica en el mainstream de la investigación y</w:t>
      </w:r>
      <w:r>
        <w:rPr>
          <w:spacing w:val="-3"/>
        </w:rPr>
        <w:t xml:space="preserve"> </w:t>
      </w:r>
      <w:r>
        <w:t>enseñanza</w:t>
      </w:r>
      <w:r>
        <w:rPr>
          <w:spacing w:val="-3"/>
        </w:rPr>
        <w:t xml:space="preserve"> </w:t>
      </w:r>
      <w:r>
        <w:t>contemporáneas,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identifica</w:t>
      </w:r>
      <w:r>
        <w:rPr>
          <w:spacing w:val="-3"/>
        </w:rPr>
        <w:t xml:space="preserve"> </w:t>
      </w:r>
      <w:r>
        <w:t>con la llamada paradoja de la interdisciplina (</w:t>
      </w:r>
      <w:proofErr w:type="spellStart"/>
      <w:r>
        <w:t>Weingart</w:t>
      </w:r>
      <w:proofErr w:type="spellEnd"/>
      <w:r>
        <w:t>, 2000).</w:t>
      </w:r>
    </w:p>
    <w:p w14:paraId="09E53F10" w14:textId="77777777" w:rsidR="00380F5A" w:rsidRDefault="00000000">
      <w:pPr>
        <w:pStyle w:val="Textoindependiente"/>
        <w:spacing w:before="240" w:line="276" w:lineRule="auto"/>
        <w:ind w:left="940" w:right="973"/>
        <w:jc w:val="both"/>
      </w:pPr>
      <w:r>
        <w:t>En contraste con esta situación, en América Latina, diversas universidades públicas, en consonancia con su misión institucional 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desafíos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siglo</w:t>
      </w:r>
      <w:r>
        <w:rPr>
          <w:spacing w:val="-3"/>
        </w:rPr>
        <w:t xml:space="preserve"> </w:t>
      </w:r>
      <w:r>
        <w:t>actual,</w:t>
      </w:r>
      <w:r>
        <w:rPr>
          <w:spacing w:val="-3"/>
        </w:rPr>
        <w:t xml:space="preserve"> </w:t>
      </w:r>
      <w:r>
        <w:t>como el cambio climático, el envejecimiento de la población, la salud pública y los desastres naturales, han venido desarrollando e institucionalizando la inter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transdisciplina</w:t>
      </w:r>
      <w:r>
        <w:rPr>
          <w:spacing w:val="-3"/>
        </w:rPr>
        <w:t xml:space="preserve"> </w:t>
      </w:r>
      <w:r>
        <w:t>(ID-TD) como un enfoque de producción de conocimiento</w:t>
      </w:r>
      <w:r>
        <w:rPr>
          <w:spacing w:val="-4"/>
        </w:rPr>
        <w:t xml:space="preserve"> </w:t>
      </w:r>
      <w:r>
        <w:t>capaz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abordar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complejidad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estos fenómenos. Esto ha dado lugar a la creación de espacios de interacción cada vez más estrechos entre la universidad y la sociedad.</w:t>
      </w:r>
    </w:p>
    <w:p w14:paraId="3AB0EF1A" w14:textId="77777777" w:rsidR="00380F5A" w:rsidRDefault="00000000">
      <w:pPr>
        <w:pStyle w:val="Textoindependiente"/>
        <w:spacing w:before="240" w:line="276" w:lineRule="auto"/>
        <w:ind w:left="940" w:right="973"/>
        <w:jc w:val="both"/>
      </w:pPr>
      <w:r>
        <w:t>La presente mesa tiene como objetivo reunir a diversos investigadores e investigadoras</w:t>
      </w:r>
      <w:r>
        <w:rPr>
          <w:spacing w:val="-3"/>
        </w:rPr>
        <w:t xml:space="preserve"> </w:t>
      </w:r>
      <w:r>
        <w:t>de reconocidas universidades latinoamericanas para contribuir al debate actual sobre la transdisciplinariedad y su institucionalización en las universidades. Específicamente, se busca profundizar en los procesos, relatos y</w:t>
      </w:r>
      <w:r>
        <w:rPr>
          <w:spacing w:val="-3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institucionales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caracterizado la integración de la Investigación y Docencia ID-TD desde experiencias y casos de universidades latinoamericanas. Esto permitirá establecer similitudes y diferencias, así</w:t>
      </w:r>
      <w:r>
        <w:rPr>
          <w:spacing w:val="40"/>
        </w:rPr>
        <w:t xml:space="preserve"> </w:t>
      </w:r>
      <w:r>
        <w:t>como presentar los desafíos actuales para su</w:t>
      </w:r>
      <w:r>
        <w:rPr>
          <w:spacing w:val="-3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contextos.</w:t>
      </w:r>
      <w:r>
        <w:rPr>
          <w:spacing w:val="-3"/>
        </w:rPr>
        <w:t xml:space="preserve"> </w:t>
      </w:r>
      <w:r>
        <w:t>Además, la mesa contará con la experiencia de una investigadora europea en la institucionalización de la ID-TD, lo que permitirá contrastar estos diferentes contextos y enriquecer el debate.</w:t>
      </w:r>
    </w:p>
    <w:p w14:paraId="30D18B51" w14:textId="77777777" w:rsidR="00380F5A" w:rsidRDefault="00000000">
      <w:pPr>
        <w:spacing w:before="240"/>
        <w:ind w:left="940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Panelistas</w:t>
      </w:r>
    </w:p>
    <w:p w14:paraId="71DA7837" w14:textId="77777777" w:rsidR="00380F5A" w:rsidRDefault="00380F5A">
      <w:pPr>
        <w:pStyle w:val="Textoindependiente"/>
        <w:spacing w:before="75"/>
        <w:rPr>
          <w:rFonts w:ascii="Arial"/>
          <w:b/>
        </w:rPr>
      </w:pPr>
    </w:p>
    <w:p w14:paraId="6542D55B" w14:textId="77777777" w:rsidR="00380F5A" w:rsidRDefault="00000000">
      <w:pPr>
        <w:pStyle w:val="Ttulo1"/>
        <w:spacing w:before="1" w:line="552" w:lineRule="auto"/>
        <w:ind w:right="3493"/>
      </w:pPr>
      <w:r>
        <w:t>Moderadores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coordinadores:</w:t>
      </w:r>
      <w:r>
        <w:rPr>
          <w:spacing w:val="-9"/>
        </w:rPr>
        <w:t xml:space="preserve"> </w:t>
      </w:r>
      <w:r>
        <w:t>Pablo</w:t>
      </w:r>
      <w:r>
        <w:rPr>
          <w:spacing w:val="-9"/>
        </w:rPr>
        <w:t xml:space="preserve"> </w:t>
      </w:r>
      <w:r>
        <w:t>Riveros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Pía</w:t>
      </w:r>
      <w:r>
        <w:rPr>
          <w:spacing w:val="-9"/>
        </w:rPr>
        <w:t xml:space="preserve"> </w:t>
      </w:r>
      <w:r>
        <w:t>Torres Silvia Arguello (Universidad Nacional de Costa Rica)</w:t>
      </w:r>
    </w:p>
    <w:p w14:paraId="4FFFFC2B" w14:textId="77777777" w:rsidR="00380F5A" w:rsidRDefault="00000000">
      <w:pPr>
        <w:pStyle w:val="Textoindependiente"/>
        <w:spacing w:line="276" w:lineRule="auto"/>
        <w:ind w:left="940" w:right="973"/>
        <w:jc w:val="both"/>
      </w:pPr>
      <w:r>
        <w:t xml:space="preserve">La </w:t>
      </w:r>
      <w:proofErr w:type="spellStart"/>
      <w:r>
        <w:t>M.Sc</w:t>
      </w:r>
      <w:proofErr w:type="spellEnd"/>
      <w:r>
        <w:t xml:space="preserve">. Silvia Argüello Vargas es bióloga tropical, licenciada en manejo de recursos naturales y </w:t>
      </w:r>
      <w:proofErr w:type="spellStart"/>
      <w:r>
        <w:t>M.Sc</w:t>
      </w:r>
      <w:proofErr w:type="spellEnd"/>
      <w:r>
        <w:t>. en enfermedades tropicales. Ingresó a la UNA como académica en el Instituto Regional de Estudios en Sustancias Tóxicas y posteriormente en el Posgrado de Ciencias Veterinarias Tropicales. Actualmente es asesora académica en la Rectoría</w:t>
      </w:r>
      <w:r>
        <w:rPr>
          <w:spacing w:val="40"/>
        </w:rPr>
        <w:t xml:space="preserve"> </w:t>
      </w:r>
      <w:r>
        <w:t>Adjunta, donde coordina el diseño y la ejecución de una estrategia institucional para promover los abordajes multi, inter y transdisciplinares en la UNA. Se desempeñó como directora de la Dirección de Promoción de la Ciencia y la Tecnología en el Ministerio de Ciencia, Tecnología y Telecomunicaciones</w:t>
      </w:r>
    </w:p>
    <w:p w14:paraId="2A79DDFB" w14:textId="77777777" w:rsidR="00380F5A" w:rsidRDefault="00380F5A">
      <w:pPr>
        <w:pStyle w:val="Textoindependiente"/>
        <w:spacing w:before="37"/>
      </w:pPr>
    </w:p>
    <w:p w14:paraId="2045B04A" w14:textId="77777777" w:rsidR="00380F5A" w:rsidRDefault="00000000">
      <w:pPr>
        <w:pStyle w:val="Ttulo1"/>
      </w:pPr>
      <w:r>
        <w:t>Juan</w:t>
      </w:r>
      <w:r>
        <w:rPr>
          <w:spacing w:val="-7"/>
        </w:rPr>
        <w:t xml:space="preserve"> </w:t>
      </w:r>
      <w:r>
        <w:t>Carlos</w:t>
      </w:r>
      <w:r>
        <w:rPr>
          <w:spacing w:val="-7"/>
        </w:rPr>
        <w:t xml:space="preserve"> </w:t>
      </w:r>
      <w:r>
        <w:t>Villa</w:t>
      </w:r>
      <w:r>
        <w:rPr>
          <w:spacing w:val="-7"/>
        </w:rPr>
        <w:t xml:space="preserve"> </w:t>
      </w:r>
      <w:r>
        <w:t>(Universidad</w:t>
      </w:r>
      <w:r>
        <w:rPr>
          <w:spacing w:val="-7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Autónoma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México).</w:t>
      </w:r>
    </w:p>
    <w:p w14:paraId="2C88D303" w14:textId="77777777" w:rsidR="00380F5A" w:rsidRDefault="00380F5A">
      <w:pPr>
        <w:pStyle w:val="Textoindependiente"/>
        <w:spacing w:before="76"/>
        <w:rPr>
          <w:rFonts w:ascii="Arial"/>
          <w:b/>
        </w:rPr>
      </w:pPr>
    </w:p>
    <w:p w14:paraId="1813E28C" w14:textId="77777777" w:rsidR="00380F5A" w:rsidRDefault="00000000">
      <w:pPr>
        <w:pStyle w:val="Textoindependiente"/>
        <w:spacing w:line="276" w:lineRule="auto"/>
        <w:ind w:left="940" w:right="974"/>
        <w:jc w:val="both"/>
      </w:pPr>
      <w:r>
        <w:t>Es doctor en Estudios Latinoamericanos por la Facultad de Filosofía y Letras de la UNAM, maestro en Economía y Gestión del Cambio Tecnológico por la Universidad Autónoma Metropolitana- Xochimilco. Es Técnico Académico Titular C del Programa de Investigación</w:t>
      </w:r>
    </w:p>
    <w:p w14:paraId="4DE6E123" w14:textId="77777777" w:rsidR="00380F5A" w:rsidRDefault="00380F5A">
      <w:pPr>
        <w:spacing w:line="276" w:lineRule="auto"/>
        <w:jc w:val="both"/>
        <w:sectPr w:rsidR="00380F5A">
          <w:type w:val="continuous"/>
          <w:pgSz w:w="11920" w:h="16840"/>
          <w:pgMar w:top="1080" w:right="480" w:bottom="280" w:left="500" w:header="720" w:footer="720" w:gutter="0"/>
          <w:cols w:space="720"/>
        </w:sectPr>
      </w:pPr>
    </w:p>
    <w:p w14:paraId="2D57D21C" w14:textId="77777777" w:rsidR="00380F5A" w:rsidRDefault="00000000">
      <w:pPr>
        <w:pStyle w:val="Textoindependiente"/>
        <w:spacing w:before="63" w:line="276" w:lineRule="auto"/>
        <w:ind w:left="940" w:right="972"/>
        <w:jc w:val="both"/>
      </w:pPr>
      <w:r>
        <w:lastRenderedPageBreak/>
        <w:t>Ciencia y Tecnología del Centro de Investigaciones Interdisciplinarias en Ciencias y Humanidades de la UNAM. Su principal línea de investigación es la teoría y práctica de la investigación y la educación interdisciplinarias. Ha coordinado los diplomados de actualización profesional en Investigación Interdisciplinaria impartidos por el CEIICH</w:t>
      </w:r>
    </w:p>
    <w:p w14:paraId="1D244036" w14:textId="77777777" w:rsidR="00380F5A" w:rsidRDefault="00380F5A">
      <w:pPr>
        <w:pStyle w:val="Textoindependiente"/>
      </w:pPr>
    </w:p>
    <w:p w14:paraId="12C00866" w14:textId="77777777" w:rsidR="00380F5A" w:rsidRDefault="00380F5A">
      <w:pPr>
        <w:pStyle w:val="Textoindependiente"/>
        <w:spacing w:before="76"/>
      </w:pPr>
    </w:p>
    <w:p w14:paraId="6C0EEE0B" w14:textId="77777777" w:rsidR="00380F5A" w:rsidRDefault="00000000">
      <w:pPr>
        <w:pStyle w:val="Ttulo1"/>
        <w:ind w:left="1001"/>
      </w:pPr>
      <w:r>
        <w:t>Anahí</w:t>
      </w:r>
      <w:r>
        <w:rPr>
          <w:spacing w:val="-9"/>
        </w:rPr>
        <w:t xml:space="preserve"> </w:t>
      </w:r>
      <w:r>
        <w:t>Urquiza</w:t>
      </w:r>
      <w:r>
        <w:rPr>
          <w:spacing w:val="-6"/>
        </w:rPr>
        <w:t xml:space="preserve"> </w:t>
      </w:r>
      <w:r>
        <w:t>(Universidad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Chile)</w:t>
      </w:r>
    </w:p>
    <w:p w14:paraId="13CF16A8" w14:textId="77777777" w:rsidR="00380F5A" w:rsidRDefault="00380F5A">
      <w:pPr>
        <w:pStyle w:val="Textoindependiente"/>
        <w:spacing w:before="76"/>
        <w:rPr>
          <w:rFonts w:ascii="Arial"/>
          <w:b/>
        </w:rPr>
      </w:pPr>
    </w:p>
    <w:p w14:paraId="0AA4EBD9" w14:textId="77777777" w:rsidR="00380F5A" w:rsidRDefault="00000000">
      <w:pPr>
        <w:pStyle w:val="Textoindependiente"/>
        <w:spacing w:line="276" w:lineRule="auto"/>
        <w:ind w:left="940" w:right="973"/>
        <w:jc w:val="both"/>
      </w:pPr>
      <w:r>
        <w:t>Dra.</w:t>
      </w:r>
      <w:r>
        <w:rPr>
          <w:spacing w:val="-5"/>
        </w:rPr>
        <w:t xml:space="preserve"> </w:t>
      </w:r>
      <w:r>
        <w:t>Anahí</w:t>
      </w:r>
      <w:r>
        <w:rPr>
          <w:spacing w:val="-5"/>
        </w:rPr>
        <w:t xml:space="preserve"> </w:t>
      </w:r>
      <w:r>
        <w:t>Urquiza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Profesora</w:t>
      </w:r>
      <w:r>
        <w:rPr>
          <w:spacing w:val="-5"/>
        </w:rPr>
        <w:t xml:space="preserve"> </w:t>
      </w:r>
      <w:r>
        <w:t>Titular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Antropología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Universidad de Chile (Santiago) e Investigadora del Centro de Investigaciones sobre el Clima y la Resiliencia</w:t>
      </w:r>
      <w:r>
        <w:rPr>
          <w:spacing w:val="-3"/>
        </w:rPr>
        <w:t xml:space="preserve"> </w:t>
      </w:r>
      <w:r>
        <w:t>(CR)2.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Antropóloga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Chile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Doctora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Sociología de la Universidad de </w:t>
      </w:r>
      <w:proofErr w:type="spellStart"/>
      <w:r>
        <w:t>Munich</w:t>
      </w:r>
      <w:proofErr w:type="spellEnd"/>
      <w:r>
        <w:t>, Alemania. Actualmente es directora de Innovación de la Vicerrectoría de Investigación y Desarrollo de la Universidad de Chile.</w:t>
      </w:r>
    </w:p>
    <w:p w14:paraId="73F89BE0" w14:textId="77777777" w:rsidR="00380F5A" w:rsidRDefault="00380F5A">
      <w:pPr>
        <w:pStyle w:val="Textoindependiente"/>
        <w:spacing w:before="38"/>
      </w:pPr>
    </w:p>
    <w:p w14:paraId="2380DB7C" w14:textId="77777777" w:rsidR="00380F5A" w:rsidRDefault="00000000">
      <w:pPr>
        <w:pStyle w:val="Ttulo1"/>
      </w:pPr>
      <w:r>
        <w:t>Ana</w:t>
      </w:r>
      <w:r>
        <w:rPr>
          <w:spacing w:val="-7"/>
        </w:rPr>
        <w:t xml:space="preserve"> </w:t>
      </w:r>
      <w:r>
        <w:t>Corbacho</w:t>
      </w:r>
      <w:r>
        <w:rPr>
          <w:spacing w:val="-6"/>
        </w:rPr>
        <w:t xml:space="preserve"> </w:t>
      </w:r>
      <w:r>
        <w:t>(Universidad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República,</w:t>
      </w:r>
      <w:r>
        <w:rPr>
          <w:spacing w:val="-6"/>
        </w:rPr>
        <w:t xml:space="preserve"> </w:t>
      </w:r>
      <w:r>
        <w:rPr>
          <w:spacing w:val="-2"/>
        </w:rPr>
        <w:t>Uruguay)</w:t>
      </w:r>
    </w:p>
    <w:p w14:paraId="2170E84F" w14:textId="77777777" w:rsidR="00380F5A" w:rsidRDefault="00380F5A">
      <w:pPr>
        <w:pStyle w:val="Textoindependiente"/>
        <w:spacing w:before="76"/>
        <w:rPr>
          <w:rFonts w:ascii="Arial"/>
          <w:b/>
        </w:rPr>
      </w:pPr>
    </w:p>
    <w:p w14:paraId="038CE463" w14:textId="77777777" w:rsidR="00380F5A" w:rsidRDefault="00000000">
      <w:pPr>
        <w:pStyle w:val="Textoindependiente"/>
        <w:spacing w:line="276" w:lineRule="auto"/>
        <w:ind w:left="940" w:right="978"/>
        <w:jc w:val="both"/>
      </w:pPr>
      <w:r>
        <w:t xml:space="preserve">Profesora Agregada y Coordinadora Académica del Espacio Interdisciplinario, Udelar. Lic. en Ciencias Biológicas de la Udelar, </w:t>
      </w:r>
      <w:proofErr w:type="spellStart"/>
      <w:r>
        <w:t>MSc</w:t>
      </w:r>
      <w:proofErr w:type="spellEnd"/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Fisiología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Neuroendocrinología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Universidad Nacional Autónoma de México. Trabaja en iniciativas de educación superior inter y transdisciplinarias.</w:t>
      </w:r>
    </w:p>
    <w:p w14:paraId="4F225A98" w14:textId="77777777" w:rsidR="00380F5A" w:rsidRDefault="00380F5A">
      <w:pPr>
        <w:pStyle w:val="Textoindependiente"/>
        <w:spacing w:before="38"/>
      </w:pPr>
    </w:p>
    <w:p w14:paraId="73FA4EA2" w14:textId="77777777" w:rsidR="00380F5A" w:rsidRDefault="00000000">
      <w:pPr>
        <w:pStyle w:val="Ttulo1"/>
      </w:pPr>
      <w:r>
        <w:t>Pablo</w:t>
      </w:r>
      <w:r>
        <w:rPr>
          <w:spacing w:val="-12"/>
        </w:rPr>
        <w:t xml:space="preserve"> </w:t>
      </w:r>
      <w:r>
        <w:t>Villalobos</w:t>
      </w:r>
      <w:r>
        <w:rPr>
          <w:spacing w:val="43"/>
        </w:rPr>
        <w:t xml:space="preserve"> </w:t>
      </w:r>
      <w:r>
        <w:t>(Universidad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Talca,</w:t>
      </w:r>
      <w:r>
        <w:rPr>
          <w:spacing w:val="-9"/>
        </w:rPr>
        <w:t xml:space="preserve"> </w:t>
      </w:r>
      <w:r>
        <w:rPr>
          <w:spacing w:val="-2"/>
        </w:rPr>
        <w:t>Chile)</w:t>
      </w:r>
    </w:p>
    <w:p w14:paraId="64A79FC0" w14:textId="77777777" w:rsidR="00380F5A" w:rsidRDefault="00380F5A">
      <w:pPr>
        <w:pStyle w:val="Textoindependiente"/>
        <w:spacing w:before="75"/>
        <w:rPr>
          <w:rFonts w:ascii="Arial"/>
          <w:b/>
        </w:rPr>
      </w:pPr>
    </w:p>
    <w:p w14:paraId="0DA86F2E" w14:textId="77777777" w:rsidR="00380F5A" w:rsidRDefault="00000000">
      <w:pPr>
        <w:pStyle w:val="Textoindependiente"/>
        <w:spacing w:before="1" w:line="276" w:lineRule="auto"/>
        <w:ind w:left="940" w:right="977"/>
        <w:jc w:val="both"/>
      </w:pPr>
      <w:r>
        <w:t xml:space="preserve">Ingeniero Agrónomo de la Universidad de Chile y doctorado en Ciencias Agrarias de la Universidad de </w:t>
      </w:r>
      <w:proofErr w:type="spellStart"/>
      <w:r>
        <w:t>Goettingen</w:t>
      </w:r>
      <w:proofErr w:type="spellEnd"/>
      <w:r>
        <w:t xml:space="preserve"> (Alemania). Se desempeña en la actualidad como profesor del Departamento de Economía Agraria de la Facultad de Ciencias Agrarias de la Universidad de </w:t>
      </w:r>
      <w:proofErr w:type="gramStart"/>
      <w:r>
        <w:t>Talca .Su</w:t>
      </w:r>
      <w:proofErr w:type="gramEnd"/>
      <w:r>
        <w:t xml:space="preserve"> campo de investigación se orienta a Transiciones Sostenibles y Políticas de Innovación Transformativa e Institucionalización de enfoques</w:t>
      </w:r>
      <w:r>
        <w:rPr>
          <w:spacing w:val="-5"/>
        </w:rPr>
        <w:t xml:space="preserve"> </w:t>
      </w:r>
      <w:r>
        <w:t>Inter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transdisciplinario,</w:t>
      </w:r>
      <w:r>
        <w:rPr>
          <w:spacing w:val="-5"/>
        </w:rPr>
        <w:t xml:space="preserve"> </w:t>
      </w:r>
      <w:r>
        <w:t>entre otras. Se ha desempeñado como Vicerrector de Innovación de la Universidad de Talca, estimulando un cambio epistemológico en el quehacer académico.</w:t>
      </w:r>
    </w:p>
    <w:p w14:paraId="07640715" w14:textId="77777777" w:rsidR="00380F5A" w:rsidRDefault="00380F5A">
      <w:pPr>
        <w:pStyle w:val="Textoindependiente"/>
        <w:spacing w:before="38"/>
      </w:pPr>
    </w:p>
    <w:p w14:paraId="4A885BD8" w14:textId="77777777" w:rsidR="00725A4E" w:rsidRDefault="00725A4E">
      <w:pPr>
        <w:ind w:left="940"/>
        <w:rPr>
          <w:rFonts w:ascii="Arial" w:hAnsi="Arial"/>
          <w:b/>
          <w:spacing w:val="-2"/>
          <w:u w:val="single"/>
        </w:rPr>
      </w:pPr>
    </w:p>
    <w:p w14:paraId="4872F815" w14:textId="77777777" w:rsidR="00725A4E" w:rsidRDefault="00725A4E">
      <w:pPr>
        <w:ind w:left="940"/>
        <w:rPr>
          <w:rFonts w:ascii="Arial" w:hAnsi="Arial"/>
          <w:b/>
          <w:spacing w:val="-2"/>
          <w:u w:val="single"/>
        </w:rPr>
      </w:pPr>
    </w:p>
    <w:p w14:paraId="1D0252CD" w14:textId="77777777" w:rsidR="00725A4E" w:rsidRDefault="00725A4E">
      <w:pPr>
        <w:ind w:left="940"/>
        <w:rPr>
          <w:rFonts w:ascii="Arial" w:hAnsi="Arial"/>
          <w:b/>
          <w:spacing w:val="-2"/>
          <w:u w:val="single"/>
        </w:rPr>
      </w:pPr>
    </w:p>
    <w:p w14:paraId="181B729B" w14:textId="77777777" w:rsidR="00725A4E" w:rsidRDefault="00725A4E">
      <w:pPr>
        <w:ind w:left="940"/>
        <w:rPr>
          <w:rFonts w:ascii="Arial" w:hAnsi="Arial"/>
          <w:b/>
          <w:spacing w:val="-2"/>
          <w:u w:val="single"/>
        </w:rPr>
      </w:pPr>
    </w:p>
    <w:p w14:paraId="237072F1" w14:textId="59655FDD" w:rsidR="00380F5A" w:rsidRDefault="00000000">
      <w:pPr>
        <w:ind w:left="940"/>
        <w:rPr>
          <w:rFonts w:ascii="Arial" w:hAnsi="Arial"/>
          <w:b/>
        </w:rPr>
      </w:pPr>
      <w:r>
        <w:rPr>
          <w:rFonts w:ascii="Arial" w:hAnsi="Arial"/>
          <w:b/>
          <w:spacing w:val="-2"/>
          <w:u w:val="single"/>
        </w:rPr>
        <w:t>Metodología</w:t>
      </w:r>
    </w:p>
    <w:p w14:paraId="2BF657E0" w14:textId="77777777" w:rsidR="00380F5A" w:rsidRDefault="00380F5A">
      <w:pPr>
        <w:pStyle w:val="Textoindependiente"/>
        <w:spacing w:before="76"/>
        <w:rPr>
          <w:rFonts w:ascii="Arial"/>
          <w:b/>
        </w:rPr>
      </w:pPr>
    </w:p>
    <w:p w14:paraId="2495FB6D" w14:textId="77777777" w:rsidR="00380F5A" w:rsidRDefault="00000000">
      <w:pPr>
        <w:pStyle w:val="Textoindependiente"/>
        <w:spacing w:line="276" w:lineRule="auto"/>
        <w:ind w:left="940" w:right="983"/>
        <w:jc w:val="both"/>
      </w:pPr>
      <w:r>
        <w:t>Esta mesa de discusión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moderada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Pablo</w:t>
      </w:r>
      <w:r>
        <w:rPr>
          <w:spacing w:val="-5"/>
        </w:rPr>
        <w:t xml:space="preserve"> </w:t>
      </w:r>
      <w:r>
        <w:t>Riveros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Pía</w:t>
      </w:r>
      <w:r>
        <w:rPr>
          <w:spacing w:val="-5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de Chile, y se estructurará bajo cuatro momentos:</w:t>
      </w:r>
    </w:p>
    <w:p w14:paraId="28DB5047" w14:textId="77777777" w:rsidR="00380F5A" w:rsidRDefault="00380F5A">
      <w:pPr>
        <w:pStyle w:val="Textoindependiente"/>
        <w:spacing w:before="38"/>
      </w:pPr>
    </w:p>
    <w:p w14:paraId="00A378CE" w14:textId="77777777" w:rsidR="00380F5A" w:rsidRDefault="00000000">
      <w:pPr>
        <w:pStyle w:val="Prrafodelista"/>
        <w:numPr>
          <w:ilvl w:val="0"/>
          <w:numId w:val="1"/>
        </w:numPr>
        <w:tabs>
          <w:tab w:val="left" w:pos="1987"/>
        </w:tabs>
        <w:ind w:left="1987" w:hanging="327"/>
      </w:pPr>
      <w:r>
        <w:t>Introducción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las/os</w:t>
      </w:r>
      <w:r>
        <w:rPr>
          <w:spacing w:val="-6"/>
        </w:rPr>
        <w:t xml:space="preserve"> </w:t>
      </w:r>
      <w:r>
        <w:rPr>
          <w:spacing w:val="-2"/>
        </w:rPr>
        <w:t>panelistas</w:t>
      </w:r>
    </w:p>
    <w:p w14:paraId="1A5E357B" w14:textId="77777777" w:rsidR="00380F5A" w:rsidRDefault="00000000">
      <w:pPr>
        <w:pStyle w:val="Prrafodelista"/>
        <w:numPr>
          <w:ilvl w:val="0"/>
          <w:numId w:val="1"/>
        </w:numPr>
        <w:tabs>
          <w:tab w:val="left" w:pos="1987"/>
        </w:tabs>
        <w:spacing w:before="38"/>
        <w:ind w:left="1987" w:hanging="327"/>
      </w:pPr>
      <w:r>
        <w:t>Primera</w:t>
      </w:r>
      <w:r>
        <w:rPr>
          <w:spacing w:val="-8"/>
        </w:rPr>
        <w:t xml:space="preserve"> </w:t>
      </w:r>
      <w:r>
        <w:t>pregunta</w:t>
      </w:r>
      <w:r>
        <w:rPr>
          <w:spacing w:val="-6"/>
        </w:rPr>
        <w:t xml:space="preserve"> </w:t>
      </w:r>
      <w:r>
        <w:t>asociada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experiencias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institucionalización</w:t>
      </w:r>
    </w:p>
    <w:p w14:paraId="2B365D78" w14:textId="77777777" w:rsidR="00380F5A" w:rsidRDefault="00380F5A">
      <w:pPr>
        <w:sectPr w:rsidR="00380F5A">
          <w:pgSz w:w="11920" w:h="16840"/>
          <w:pgMar w:top="220" w:right="480" w:bottom="280" w:left="500" w:header="720" w:footer="720" w:gutter="0"/>
          <w:cols w:space="720"/>
        </w:sectPr>
      </w:pPr>
    </w:p>
    <w:p w14:paraId="5FAC82E5" w14:textId="77777777" w:rsidR="00380F5A" w:rsidRDefault="00000000">
      <w:pPr>
        <w:pStyle w:val="Prrafodelista"/>
        <w:numPr>
          <w:ilvl w:val="0"/>
          <w:numId w:val="1"/>
        </w:numPr>
        <w:tabs>
          <w:tab w:val="left" w:pos="2062"/>
        </w:tabs>
        <w:spacing w:before="63" w:line="276" w:lineRule="auto"/>
        <w:ind w:left="1660" w:right="984" w:firstLine="0"/>
      </w:pPr>
      <w:r>
        <w:lastRenderedPageBreak/>
        <w:t>Segunda</w:t>
      </w:r>
      <w:r>
        <w:rPr>
          <w:spacing w:val="71"/>
        </w:rPr>
        <w:t xml:space="preserve"> </w:t>
      </w:r>
      <w:r>
        <w:t>pregunta</w:t>
      </w:r>
      <w:r>
        <w:rPr>
          <w:spacing w:val="71"/>
        </w:rPr>
        <w:t xml:space="preserve"> </w:t>
      </w:r>
      <w:r>
        <w:t>sobre</w:t>
      </w:r>
      <w:r>
        <w:rPr>
          <w:spacing w:val="71"/>
        </w:rPr>
        <w:t xml:space="preserve"> </w:t>
      </w:r>
      <w:r>
        <w:t>los</w:t>
      </w:r>
      <w:r>
        <w:rPr>
          <w:spacing w:val="71"/>
        </w:rPr>
        <w:t xml:space="preserve"> </w:t>
      </w:r>
      <w:r>
        <w:t>desafíos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ID-TD</w:t>
      </w:r>
      <w:r>
        <w:rPr>
          <w:spacing w:val="71"/>
        </w:rPr>
        <w:t xml:space="preserve"> </w:t>
      </w:r>
      <w:r>
        <w:t>en</w:t>
      </w:r>
      <w:r>
        <w:rPr>
          <w:spacing w:val="71"/>
        </w:rPr>
        <w:t xml:space="preserve"> </w:t>
      </w:r>
      <w:r>
        <w:t>las</w:t>
      </w:r>
      <w:r>
        <w:rPr>
          <w:spacing w:val="71"/>
        </w:rPr>
        <w:t xml:space="preserve"> </w:t>
      </w:r>
      <w:r>
        <w:t>instituciones</w:t>
      </w:r>
      <w:r>
        <w:rPr>
          <w:spacing w:val="71"/>
        </w:rPr>
        <w:t xml:space="preserve"> </w:t>
      </w:r>
      <w:r>
        <w:t>de educación superior.</w:t>
      </w:r>
    </w:p>
    <w:p w14:paraId="78267985" w14:textId="77777777" w:rsidR="00380F5A" w:rsidRDefault="00000000">
      <w:pPr>
        <w:pStyle w:val="Prrafodelista"/>
        <w:numPr>
          <w:ilvl w:val="0"/>
          <w:numId w:val="1"/>
        </w:numPr>
        <w:tabs>
          <w:tab w:val="left" w:pos="1987"/>
        </w:tabs>
        <w:ind w:left="1987" w:hanging="327"/>
      </w:pPr>
      <w:r>
        <w:rPr>
          <w:spacing w:val="-2"/>
        </w:rPr>
        <w:t>Cierre</w:t>
      </w:r>
    </w:p>
    <w:p w14:paraId="7710E23E" w14:textId="77777777" w:rsidR="00380F5A" w:rsidRDefault="00380F5A">
      <w:pPr>
        <w:pStyle w:val="Textoindependiente"/>
        <w:spacing w:before="76"/>
      </w:pPr>
    </w:p>
    <w:p w14:paraId="5DC45956" w14:textId="77777777" w:rsidR="00380F5A" w:rsidRDefault="00000000">
      <w:pPr>
        <w:pStyle w:val="Textoindependiente"/>
        <w:spacing w:line="276" w:lineRule="auto"/>
        <w:ind w:left="940" w:right="972"/>
        <w:jc w:val="both"/>
      </w:pPr>
      <w:r>
        <w:t>El primer y cuarto momento estarán a cargo de los moderadores, mientras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ronda</w:t>
      </w:r>
      <w:r>
        <w:rPr>
          <w:spacing w:val="-2"/>
        </w:rPr>
        <w:t xml:space="preserve"> </w:t>
      </w:r>
      <w:r>
        <w:t xml:space="preserve">de preguntas será el espacio participativo de las y los panelistas. La primera corresponderá a una pregunta dirigida en función de la experiencia de cada uno/a en los procesos de institucionalización de ID-TD en sus respectivas universidades. Mientras que, la segunda, será una pregunta transversal a propósito de los desafíos institucionales frente a las tensiones teóricas y epistemológicas de la ID-TD. En relación a estas dos preguntas, se espera que las/os panelistas preparen una breve intervención de 5 minutos </w:t>
      </w:r>
      <w:proofErr w:type="gramStart"/>
      <w:r>
        <w:t>aprox..</w:t>
      </w:r>
      <w:proofErr w:type="gramEnd"/>
      <w:r>
        <w:t xml:space="preserve"> Esta intervención no requiere el uso de una presentación.</w:t>
      </w:r>
    </w:p>
    <w:p w14:paraId="425EF567" w14:textId="77777777" w:rsidR="00380F5A" w:rsidRDefault="00000000" w:rsidP="00725A4E">
      <w:pPr>
        <w:pStyle w:val="Textoindependiente"/>
        <w:jc w:val="both"/>
      </w:pPr>
      <w:r>
        <w:t>A</w:t>
      </w:r>
      <w:r>
        <w:rPr>
          <w:spacing w:val="-7"/>
        </w:rPr>
        <w:t xml:space="preserve"> </w:t>
      </w:r>
      <w:proofErr w:type="gramStart"/>
      <w:r>
        <w:t>continuación</w:t>
      </w:r>
      <w:proofErr w:type="gramEnd"/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detalle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rPr>
          <w:spacing w:val="-2"/>
        </w:rPr>
        <w:t>bloque.</w:t>
      </w:r>
    </w:p>
    <w:p w14:paraId="4FF94E4D" w14:textId="77777777" w:rsidR="00380F5A" w:rsidRDefault="00380F5A">
      <w:pPr>
        <w:pStyle w:val="Textoindependiente"/>
        <w:rPr>
          <w:sz w:val="20"/>
        </w:rPr>
      </w:pPr>
    </w:p>
    <w:p w14:paraId="2A3DD0AB" w14:textId="77777777" w:rsidR="00380F5A" w:rsidRDefault="00380F5A">
      <w:pPr>
        <w:pStyle w:val="Textoindependiente"/>
        <w:spacing w:before="141" w:after="1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000"/>
        <w:gridCol w:w="5040"/>
      </w:tblGrid>
      <w:tr w:rsidR="00380F5A" w14:paraId="7A1C490D" w14:textId="77777777">
        <w:trPr>
          <w:trHeight w:val="720"/>
        </w:trPr>
        <w:tc>
          <w:tcPr>
            <w:tcW w:w="2640" w:type="dxa"/>
          </w:tcPr>
          <w:p w14:paraId="207AEACB" w14:textId="77777777" w:rsidR="00380F5A" w:rsidRDefault="00000000">
            <w:pPr>
              <w:pStyle w:val="TableParagraph"/>
              <w:spacing w:before="118"/>
              <w:ind w:left="0" w:right="92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Bloque</w:t>
            </w:r>
          </w:p>
        </w:tc>
        <w:tc>
          <w:tcPr>
            <w:tcW w:w="3000" w:type="dxa"/>
          </w:tcPr>
          <w:p w14:paraId="268E29D7" w14:textId="77777777" w:rsidR="00380F5A" w:rsidRDefault="00000000">
            <w:pPr>
              <w:pStyle w:val="TableParagraph"/>
              <w:spacing w:before="118"/>
              <w:ind w:left="4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Panelista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General</w:t>
            </w:r>
          </w:p>
        </w:tc>
        <w:tc>
          <w:tcPr>
            <w:tcW w:w="5040" w:type="dxa"/>
          </w:tcPr>
          <w:p w14:paraId="36E7EA82" w14:textId="77777777" w:rsidR="00380F5A" w:rsidRDefault="00000000">
            <w:pPr>
              <w:pStyle w:val="TableParagraph"/>
              <w:spacing w:before="118"/>
              <w:ind w:left="791" w:hanging="2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Pregunta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asociada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torno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los desafíos de institucionalización):</w:t>
            </w:r>
          </w:p>
        </w:tc>
      </w:tr>
      <w:tr w:rsidR="00380F5A" w14:paraId="51E85277" w14:textId="77777777">
        <w:trPr>
          <w:trHeight w:val="959"/>
        </w:trPr>
        <w:tc>
          <w:tcPr>
            <w:tcW w:w="2640" w:type="dxa"/>
            <w:vMerge w:val="restart"/>
          </w:tcPr>
          <w:p w14:paraId="2A2B7109" w14:textId="77777777" w:rsidR="00380F5A" w:rsidRDefault="00000000">
            <w:pPr>
              <w:pStyle w:val="TableParagraph"/>
              <w:spacing w:before="109"/>
            </w:pPr>
            <w:r>
              <w:t>Primer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Bloque</w:t>
            </w:r>
          </w:p>
        </w:tc>
        <w:tc>
          <w:tcPr>
            <w:tcW w:w="3000" w:type="dxa"/>
          </w:tcPr>
          <w:p w14:paraId="5F9C1CBE" w14:textId="77777777" w:rsidR="00380F5A" w:rsidRDefault="00000000">
            <w:pPr>
              <w:pStyle w:val="TableParagraph"/>
              <w:spacing w:before="109"/>
            </w:pPr>
            <w:r>
              <w:t>Ana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Corbacho</w:t>
            </w:r>
          </w:p>
        </w:tc>
        <w:tc>
          <w:tcPr>
            <w:tcW w:w="5040" w:type="dxa"/>
          </w:tcPr>
          <w:p w14:paraId="030780E4" w14:textId="77777777" w:rsidR="00380F5A" w:rsidRDefault="00000000">
            <w:pPr>
              <w:pStyle w:val="TableParagraph"/>
              <w:spacing w:before="109"/>
              <w:ind w:right="85"/>
              <w:jc w:val="both"/>
            </w:pPr>
            <w:r>
              <w:t xml:space="preserve">La trayectoria del Espacio Interdisciplinario y su relación con vicerrectorías y las unidades </w:t>
            </w:r>
            <w:r>
              <w:rPr>
                <w:spacing w:val="-2"/>
              </w:rPr>
              <w:t>académicas.</w:t>
            </w:r>
          </w:p>
        </w:tc>
      </w:tr>
      <w:tr w:rsidR="00380F5A" w14:paraId="64E6BE82" w14:textId="77777777">
        <w:trPr>
          <w:trHeight w:val="960"/>
        </w:trPr>
        <w:tc>
          <w:tcPr>
            <w:tcW w:w="2640" w:type="dxa"/>
            <w:vMerge/>
            <w:tcBorders>
              <w:top w:val="nil"/>
            </w:tcBorders>
          </w:tcPr>
          <w:p w14:paraId="58B07C71" w14:textId="77777777" w:rsidR="00380F5A" w:rsidRDefault="00380F5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05A2EA66" w14:textId="77777777" w:rsidR="00380F5A" w:rsidRDefault="00000000">
            <w:pPr>
              <w:pStyle w:val="TableParagraph"/>
              <w:spacing w:before="113"/>
            </w:pPr>
            <w:r>
              <w:t>Juan</w:t>
            </w:r>
            <w:r>
              <w:rPr>
                <w:spacing w:val="-5"/>
              </w:rPr>
              <w:t xml:space="preserve"> </w:t>
            </w:r>
            <w:r>
              <w:t>Carlos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Villa</w:t>
            </w:r>
          </w:p>
        </w:tc>
        <w:tc>
          <w:tcPr>
            <w:tcW w:w="5040" w:type="dxa"/>
          </w:tcPr>
          <w:p w14:paraId="5606FB62" w14:textId="77777777" w:rsidR="00380F5A" w:rsidRDefault="00000000">
            <w:pPr>
              <w:pStyle w:val="TableParagraph"/>
              <w:spacing w:before="113"/>
              <w:ind w:right="86"/>
              <w:jc w:val="both"/>
            </w:pPr>
            <w:r>
              <w:t>El</w:t>
            </w:r>
            <w:r>
              <w:rPr>
                <w:spacing w:val="40"/>
              </w:rPr>
              <w:t xml:space="preserve"> </w:t>
            </w:r>
            <w:r>
              <w:t xml:space="preserve">rol de las humanidades y </w:t>
            </w:r>
            <w:proofErr w:type="spellStart"/>
            <w:r>
              <w:t>ccss</w:t>
            </w:r>
            <w:proofErr w:type="spellEnd"/>
            <w:r>
              <w:rPr>
                <w:spacing w:val="-4"/>
              </w:rPr>
              <w:t xml:space="preserve"> </w:t>
            </w:r>
            <w:r>
              <w:t>sociales</w:t>
            </w:r>
            <w:r>
              <w:rPr>
                <w:spacing w:val="-4"/>
              </w:rPr>
              <w:t xml:space="preserve"> </w:t>
            </w:r>
            <w:r>
              <w:t>como aporte a la ID-TD; y el CEIICH como centro y</w:t>
            </w:r>
            <w:r>
              <w:rPr>
                <w:spacing w:val="-4"/>
              </w:rPr>
              <w:t xml:space="preserve"> </w:t>
            </w:r>
            <w:r>
              <w:t>su articulación con el resto de la UNAM</w:t>
            </w:r>
          </w:p>
        </w:tc>
      </w:tr>
      <w:tr w:rsidR="00380F5A" w14:paraId="4C6A95D8" w14:textId="77777777">
        <w:trPr>
          <w:trHeight w:val="719"/>
        </w:trPr>
        <w:tc>
          <w:tcPr>
            <w:tcW w:w="2640" w:type="dxa"/>
            <w:vMerge/>
            <w:tcBorders>
              <w:top w:val="nil"/>
            </w:tcBorders>
          </w:tcPr>
          <w:p w14:paraId="03276E40" w14:textId="77777777" w:rsidR="00380F5A" w:rsidRDefault="00380F5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1ABD4BBE" w14:textId="77777777" w:rsidR="00380F5A" w:rsidRDefault="00000000">
            <w:pPr>
              <w:pStyle w:val="TableParagraph"/>
              <w:spacing w:before="117"/>
            </w:pPr>
            <w:r>
              <w:t>Pablo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Villalobos</w:t>
            </w:r>
          </w:p>
        </w:tc>
        <w:tc>
          <w:tcPr>
            <w:tcW w:w="5040" w:type="dxa"/>
          </w:tcPr>
          <w:p w14:paraId="6B0F7E3B" w14:textId="77777777" w:rsidR="00380F5A" w:rsidRDefault="00000000">
            <w:pPr>
              <w:pStyle w:val="TableParagraph"/>
              <w:tabs>
                <w:tab w:val="left" w:pos="560"/>
                <w:tab w:val="left" w:pos="2005"/>
                <w:tab w:val="left" w:pos="2461"/>
                <w:tab w:val="left" w:pos="3747"/>
                <w:tab w:val="left" w:pos="4558"/>
              </w:tabs>
              <w:spacing w:before="117"/>
              <w:ind w:right="93"/>
            </w:pPr>
            <w:r>
              <w:rPr>
                <w:spacing w:val="-6"/>
              </w:rPr>
              <w:t>La</w:t>
            </w:r>
            <w:r>
              <w:tab/>
            </w:r>
            <w:r>
              <w:rPr>
                <w:spacing w:val="-2"/>
              </w:rPr>
              <w:t>construcción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pertinencia</w:t>
            </w:r>
            <w:r>
              <w:tab/>
            </w:r>
            <w:r>
              <w:rPr>
                <w:spacing w:val="-2"/>
              </w:rPr>
              <w:t>desde</w:t>
            </w:r>
            <w:r>
              <w:tab/>
            </w:r>
            <w:r>
              <w:rPr>
                <w:spacing w:val="-4"/>
              </w:rPr>
              <w:t xml:space="preserve">una </w:t>
            </w:r>
            <w:r>
              <w:t>Universidad Regional bajo enfoques ID-TD.</w:t>
            </w:r>
          </w:p>
        </w:tc>
      </w:tr>
      <w:tr w:rsidR="00380F5A" w14:paraId="6216C1E2" w14:textId="77777777">
        <w:trPr>
          <w:trHeight w:val="1219"/>
        </w:trPr>
        <w:tc>
          <w:tcPr>
            <w:tcW w:w="2640" w:type="dxa"/>
            <w:vMerge/>
            <w:tcBorders>
              <w:top w:val="nil"/>
            </w:tcBorders>
          </w:tcPr>
          <w:p w14:paraId="0CB34202" w14:textId="77777777" w:rsidR="00380F5A" w:rsidRDefault="00380F5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53F81001" w14:textId="77777777" w:rsidR="00380F5A" w:rsidRDefault="00000000">
            <w:pPr>
              <w:pStyle w:val="TableParagraph"/>
              <w:spacing w:before="112"/>
            </w:pPr>
            <w:r>
              <w:t>Anahí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Urquiza</w:t>
            </w:r>
          </w:p>
        </w:tc>
        <w:tc>
          <w:tcPr>
            <w:tcW w:w="5040" w:type="dxa"/>
          </w:tcPr>
          <w:p w14:paraId="6E8AE8ED" w14:textId="77777777" w:rsidR="00380F5A" w:rsidRDefault="00000000">
            <w:pPr>
              <w:pStyle w:val="TableParagraph"/>
              <w:spacing w:before="112"/>
              <w:ind w:right="83"/>
              <w:jc w:val="both"/>
            </w:pPr>
            <w:r>
              <w:t>La trayectoria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institucionalización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Uchile</w:t>
            </w:r>
            <w:proofErr w:type="spellEnd"/>
            <w:r>
              <w:t>, y como</w:t>
            </w:r>
            <w:r>
              <w:rPr>
                <w:spacing w:val="-5"/>
              </w:rPr>
              <w:t xml:space="preserve"> </w:t>
            </w:r>
            <w:r>
              <w:t>juega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política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institucionalización</w:t>
            </w:r>
            <w:r>
              <w:rPr>
                <w:spacing w:val="-5"/>
              </w:rPr>
              <w:t xml:space="preserve"> </w:t>
            </w:r>
            <w:r>
              <w:t>un rol articulador entre las iniciativas académicas locales y los organismos centrales</w:t>
            </w:r>
          </w:p>
        </w:tc>
      </w:tr>
      <w:tr w:rsidR="00380F5A" w14:paraId="2FEF2446" w14:textId="77777777">
        <w:trPr>
          <w:trHeight w:val="700"/>
        </w:trPr>
        <w:tc>
          <w:tcPr>
            <w:tcW w:w="2640" w:type="dxa"/>
            <w:vMerge/>
            <w:tcBorders>
              <w:top w:val="nil"/>
            </w:tcBorders>
          </w:tcPr>
          <w:p w14:paraId="1E18E9A0" w14:textId="77777777" w:rsidR="00380F5A" w:rsidRDefault="00380F5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3CC74F87" w14:textId="77777777" w:rsidR="00380F5A" w:rsidRDefault="00000000">
            <w:pPr>
              <w:pStyle w:val="TableParagraph"/>
              <w:spacing w:before="109"/>
            </w:pPr>
            <w:r>
              <w:t>Silvia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Arguello</w:t>
            </w:r>
          </w:p>
        </w:tc>
        <w:tc>
          <w:tcPr>
            <w:tcW w:w="5040" w:type="dxa"/>
          </w:tcPr>
          <w:p w14:paraId="4542D4EB" w14:textId="77777777" w:rsidR="00380F5A" w:rsidRDefault="00000000">
            <w:pPr>
              <w:pStyle w:val="TableParagraph"/>
              <w:spacing w:before="109"/>
            </w:pPr>
            <w:r>
              <w:t>La</w:t>
            </w:r>
            <w:r>
              <w:rPr>
                <w:spacing w:val="38"/>
              </w:rPr>
              <w:t xml:space="preserve"> </w:t>
            </w:r>
            <w:r>
              <w:t>estrategia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comunidades</w:t>
            </w:r>
            <w:r>
              <w:rPr>
                <w:spacing w:val="38"/>
              </w:rPr>
              <w:t xml:space="preserve"> </w:t>
            </w:r>
            <w:r>
              <w:t>epistémicas</w:t>
            </w:r>
            <w:r>
              <w:rPr>
                <w:spacing w:val="38"/>
              </w:rPr>
              <w:t xml:space="preserve"> </w:t>
            </w:r>
            <w:r>
              <w:t>y el rol de incentivo de la MIT en la UNA</w:t>
            </w:r>
          </w:p>
        </w:tc>
      </w:tr>
      <w:tr w:rsidR="00380F5A" w14:paraId="7A167306" w14:textId="77777777">
        <w:trPr>
          <w:trHeight w:val="1261"/>
        </w:trPr>
        <w:tc>
          <w:tcPr>
            <w:tcW w:w="2640" w:type="dxa"/>
            <w:tcBorders>
              <w:bottom w:val="nil"/>
            </w:tcBorders>
          </w:tcPr>
          <w:p w14:paraId="044F504C" w14:textId="77777777" w:rsidR="00380F5A" w:rsidRDefault="00000000">
            <w:pPr>
              <w:pStyle w:val="TableParagraph"/>
              <w:spacing w:before="120"/>
              <w:ind w:left="0" w:right="887"/>
              <w:jc w:val="right"/>
            </w:pPr>
            <w:r>
              <w:t>Segundo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Bloque</w:t>
            </w:r>
          </w:p>
        </w:tc>
        <w:tc>
          <w:tcPr>
            <w:tcW w:w="3000" w:type="dxa"/>
            <w:tcBorders>
              <w:bottom w:val="nil"/>
            </w:tcBorders>
          </w:tcPr>
          <w:p w14:paraId="71C8364B" w14:textId="77777777" w:rsidR="00380F5A" w:rsidRDefault="00000000">
            <w:pPr>
              <w:pStyle w:val="TableParagraph"/>
              <w:spacing w:before="120"/>
            </w:pPr>
            <w:r>
              <w:t>Pregunta</w:t>
            </w:r>
            <w:r>
              <w:rPr>
                <w:spacing w:val="-14"/>
              </w:rPr>
              <w:t xml:space="preserve"> </w:t>
            </w:r>
            <w:r>
              <w:t>general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todos/as los/as panelistas</w:t>
            </w:r>
          </w:p>
        </w:tc>
        <w:tc>
          <w:tcPr>
            <w:tcW w:w="5040" w:type="dxa"/>
            <w:tcBorders>
              <w:bottom w:val="nil"/>
            </w:tcBorders>
          </w:tcPr>
          <w:p w14:paraId="28D7CE6A" w14:textId="77777777" w:rsidR="00380F5A" w:rsidRDefault="00000000">
            <w:pPr>
              <w:pStyle w:val="TableParagraph"/>
              <w:spacing w:before="120"/>
              <w:ind w:right="91"/>
              <w:jc w:val="both"/>
            </w:pPr>
            <w:r>
              <w:t>Los enfoques de ID-TD alojan una serie de tensiones propias de su trayectoria. Algunas tienen que ver con las diferentes posturas epistemológicas, discursos y prácticas.</w:t>
            </w:r>
          </w:p>
        </w:tc>
      </w:tr>
      <w:tr w:rsidR="00380F5A" w14:paraId="5EA3F01E" w14:textId="77777777">
        <w:trPr>
          <w:trHeight w:val="2023"/>
        </w:trPr>
        <w:tc>
          <w:tcPr>
            <w:tcW w:w="2640" w:type="dxa"/>
            <w:tcBorders>
              <w:top w:val="nil"/>
              <w:bottom w:val="nil"/>
            </w:tcBorders>
          </w:tcPr>
          <w:p w14:paraId="4A47A810" w14:textId="77777777" w:rsidR="00380F5A" w:rsidRDefault="00380F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14:paraId="3A074375" w14:textId="77777777" w:rsidR="00380F5A" w:rsidRDefault="00380F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43B3AA95" w14:textId="77777777" w:rsidR="00380F5A" w:rsidRDefault="00000000">
            <w:pPr>
              <w:pStyle w:val="TableParagraph"/>
              <w:spacing w:before="123"/>
              <w:ind w:right="83"/>
              <w:jc w:val="both"/>
            </w:pPr>
            <w:r>
              <w:t>Otras, refieren al contexto en el que emergen estos nuevos</w:t>
            </w:r>
            <w:r>
              <w:rPr>
                <w:spacing w:val="-7"/>
              </w:rPr>
              <w:t xml:space="preserve"> </w:t>
            </w:r>
            <w:r>
              <w:t>modos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producir</w:t>
            </w:r>
            <w:r>
              <w:rPr>
                <w:spacing w:val="-7"/>
              </w:rPr>
              <w:t xml:space="preserve"> </w:t>
            </w:r>
            <w:r>
              <w:t>conocimientos</w:t>
            </w:r>
            <w:r>
              <w:rPr>
                <w:spacing w:val="-7"/>
              </w:rPr>
              <w:t xml:space="preserve"> </w:t>
            </w:r>
            <w:r>
              <w:t>y su potencial rol en un contexto de funcionalización de campos del saber. En contraste, las y los actores de las universidades públicas latinoamericanas han reconfigurado estos enfoques en un discurso de lo público.</w:t>
            </w:r>
          </w:p>
        </w:tc>
      </w:tr>
      <w:tr w:rsidR="00380F5A" w14:paraId="21F9AF0E" w14:textId="77777777">
        <w:trPr>
          <w:trHeight w:val="714"/>
        </w:trPr>
        <w:tc>
          <w:tcPr>
            <w:tcW w:w="2640" w:type="dxa"/>
            <w:tcBorders>
              <w:top w:val="nil"/>
            </w:tcBorders>
          </w:tcPr>
          <w:p w14:paraId="523F8E82" w14:textId="77777777" w:rsidR="00380F5A" w:rsidRDefault="00380F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14:paraId="6B4AE25F" w14:textId="77777777" w:rsidR="00380F5A" w:rsidRDefault="00380F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32DB4BDA" w14:textId="77777777" w:rsidR="00380F5A" w:rsidRDefault="00000000">
            <w:pPr>
              <w:pStyle w:val="TableParagraph"/>
              <w:spacing w:before="123"/>
            </w:pPr>
            <w:r>
              <w:t>En</w:t>
            </w:r>
            <w:r>
              <w:rPr>
                <w:spacing w:val="80"/>
              </w:rPr>
              <w:t xml:space="preserve"> </w:t>
            </w:r>
            <w:r>
              <w:t>este</w:t>
            </w:r>
            <w:r>
              <w:rPr>
                <w:spacing w:val="80"/>
              </w:rPr>
              <w:t xml:space="preserve"> </w:t>
            </w:r>
            <w:r>
              <w:t>contexto</w:t>
            </w:r>
            <w:r>
              <w:rPr>
                <w:spacing w:val="80"/>
              </w:rPr>
              <w:t xml:space="preserve"> </w:t>
            </w:r>
            <w:r>
              <w:t>¿Cómo</w:t>
            </w:r>
            <w:r>
              <w:rPr>
                <w:spacing w:val="80"/>
              </w:rPr>
              <w:t xml:space="preserve"> </w:t>
            </w:r>
            <w:r>
              <w:t>las</w:t>
            </w:r>
            <w:r>
              <w:rPr>
                <w:spacing w:val="80"/>
              </w:rPr>
              <w:t xml:space="preserve"> </w:t>
            </w:r>
            <w:r>
              <w:t>universidades abordan</w:t>
            </w:r>
            <w:r>
              <w:rPr>
                <w:spacing w:val="66"/>
              </w:rPr>
              <w:t xml:space="preserve"> </w:t>
            </w:r>
            <w:r>
              <w:t>dichas</w:t>
            </w:r>
            <w:r>
              <w:rPr>
                <w:spacing w:val="69"/>
              </w:rPr>
              <w:t xml:space="preserve"> </w:t>
            </w:r>
            <w:r>
              <w:t>tensiones</w:t>
            </w:r>
            <w:r>
              <w:rPr>
                <w:spacing w:val="69"/>
              </w:rPr>
              <w:t xml:space="preserve"> </w:t>
            </w:r>
            <w:r>
              <w:t>en</w:t>
            </w:r>
            <w:r>
              <w:rPr>
                <w:spacing w:val="55"/>
              </w:rPr>
              <w:t xml:space="preserve"> </w:t>
            </w:r>
            <w:r>
              <w:t>los</w:t>
            </w:r>
            <w:r>
              <w:rPr>
                <w:spacing w:val="54"/>
              </w:rPr>
              <w:t xml:space="preserve"> </w:t>
            </w:r>
            <w:r>
              <w:t>procesos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</w:tbl>
    <w:p w14:paraId="02BD8328" w14:textId="77777777" w:rsidR="00380F5A" w:rsidRDefault="00380F5A">
      <w:pPr>
        <w:sectPr w:rsidR="00380F5A">
          <w:pgSz w:w="11920" w:h="16840"/>
          <w:pgMar w:top="220" w:right="480" w:bottom="1274" w:left="5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000"/>
        <w:gridCol w:w="5040"/>
      </w:tblGrid>
      <w:tr w:rsidR="00380F5A" w14:paraId="184457D5" w14:textId="77777777">
        <w:trPr>
          <w:trHeight w:val="460"/>
        </w:trPr>
        <w:tc>
          <w:tcPr>
            <w:tcW w:w="2640" w:type="dxa"/>
          </w:tcPr>
          <w:p w14:paraId="3B5D4B8E" w14:textId="77777777" w:rsidR="00380F5A" w:rsidRDefault="00380F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0" w:type="dxa"/>
          </w:tcPr>
          <w:p w14:paraId="05285F02" w14:textId="77777777" w:rsidR="00380F5A" w:rsidRDefault="00380F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40" w:type="dxa"/>
          </w:tcPr>
          <w:p w14:paraId="78D180BA" w14:textId="77777777" w:rsidR="00380F5A" w:rsidRDefault="00000000">
            <w:pPr>
              <w:pStyle w:val="TableParagraph"/>
              <w:spacing w:before="103"/>
            </w:pPr>
            <w:r>
              <w:t>institucionalización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ID-</w:t>
            </w:r>
            <w:r>
              <w:rPr>
                <w:spacing w:val="-5"/>
              </w:rPr>
              <w:t>TD?</w:t>
            </w:r>
          </w:p>
        </w:tc>
      </w:tr>
    </w:tbl>
    <w:p w14:paraId="10EA4E63" w14:textId="77777777" w:rsidR="007E0E57" w:rsidRDefault="007E0E57"/>
    <w:sectPr w:rsidR="007E0E57">
      <w:type w:val="continuous"/>
      <w:pgSz w:w="11920" w:h="16840"/>
      <w:pgMar w:top="26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76478"/>
    <w:multiLevelType w:val="hybridMultilevel"/>
    <w:tmpl w:val="3BFA5378"/>
    <w:lvl w:ilvl="0" w:tplc="8916995E">
      <w:start w:val="1"/>
      <w:numFmt w:val="decimal"/>
      <w:lvlText w:val="(%1)"/>
      <w:lvlJc w:val="left"/>
      <w:pPr>
        <w:ind w:left="1989" w:hanging="3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0426638">
      <w:numFmt w:val="bullet"/>
      <w:lvlText w:val="•"/>
      <w:lvlJc w:val="left"/>
      <w:pPr>
        <w:ind w:left="2876" w:hanging="330"/>
      </w:pPr>
      <w:rPr>
        <w:rFonts w:hint="default"/>
        <w:lang w:val="es-ES" w:eastAsia="en-US" w:bidi="ar-SA"/>
      </w:rPr>
    </w:lvl>
    <w:lvl w:ilvl="2" w:tplc="E912F30E">
      <w:numFmt w:val="bullet"/>
      <w:lvlText w:val="•"/>
      <w:lvlJc w:val="left"/>
      <w:pPr>
        <w:ind w:left="3772" w:hanging="330"/>
      </w:pPr>
      <w:rPr>
        <w:rFonts w:hint="default"/>
        <w:lang w:val="es-ES" w:eastAsia="en-US" w:bidi="ar-SA"/>
      </w:rPr>
    </w:lvl>
    <w:lvl w:ilvl="3" w:tplc="27CE7EA6">
      <w:numFmt w:val="bullet"/>
      <w:lvlText w:val="•"/>
      <w:lvlJc w:val="left"/>
      <w:pPr>
        <w:ind w:left="4668" w:hanging="330"/>
      </w:pPr>
      <w:rPr>
        <w:rFonts w:hint="default"/>
        <w:lang w:val="es-ES" w:eastAsia="en-US" w:bidi="ar-SA"/>
      </w:rPr>
    </w:lvl>
    <w:lvl w:ilvl="4" w:tplc="1F961CCE">
      <w:numFmt w:val="bullet"/>
      <w:lvlText w:val="•"/>
      <w:lvlJc w:val="left"/>
      <w:pPr>
        <w:ind w:left="5564" w:hanging="330"/>
      </w:pPr>
      <w:rPr>
        <w:rFonts w:hint="default"/>
        <w:lang w:val="es-ES" w:eastAsia="en-US" w:bidi="ar-SA"/>
      </w:rPr>
    </w:lvl>
    <w:lvl w:ilvl="5" w:tplc="65888EA6">
      <w:numFmt w:val="bullet"/>
      <w:lvlText w:val="•"/>
      <w:lvlJc w:val="left"/>
      <w:pPr>
        <w:ind w:left="6460" w:hanging="330"/>
      </w:pPr>
      <w:rPr>
        <w:rFonts w:hint="default"/>
        <w:lang w:val="es-ES" w:eastAsia="en-US" w:bidi="ar-SA"/>
      </w:rPr>
    </w:lvl>
    <w:lvl w:ilvl="6" w:tplc="ED72E426">
      <w:numFmt w:val="bullet"/>
      <w:lvlText w:val="•"/>
      <w:lvlJc w:val="left"/>
      <w:pPr>
        <w:ind w:left="7356" w:hanging="330"/>
      </w:pPr>
      <w:rPr>
        <w:rFonts w:hint="default"/>
        <w:lang w:val="es-ES" w:eastAsia="en-US" w:bidi="ar-SA"/>
      </w:rPr>
    </w:lvl>
    <w:lvl w:ilvl="7" w:tplc="05389BA6">
      <w:numFmt w:val="bullet"/>
      <w:lvlText w:val="•"/>
      <w:lvlJc w:val="left"/>
      <w:pPr>
        <w:ind w:left="8252" w:hanging="330"/>
      </w:pPr>
      <w:rPr>
        <w:rFonts w:hint="default"/>
        <w:lang w:val="es-ES" w:eastAsia="en-US" w:bidi="ar-SA"/>
      </w:rPr>
    </w:lvl>
    <w:lvl w:ilvl="8" w:tplc="DB701926">
      <w:numFmt w:val="bullet"/>
      <w:lvlText w:val="•"/>
      <w:lvlJc w:val="left"/>
      <w:pPr>
        <w:ind w:left="9148" w:hanging="330"/>
      </w:pPr>
      <w:rPr>
        <w:rFonts w:hint="default"/>
        <w:lang w:val="es-ES" w:eastAsia="en-US" w:bidi="ar-SA"/>
      </w:rPr>
    </w:lvl>
  </w:abstractNum>
  <w:num w:numId="1" w16cid:durableId="136933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F5A"/>
    <w:rsid w:val="00380F5A"/>
    <w:rsid w:val="00725A4E"/>
    <w:rsid w:val="007E0E57"/>
    <w:rsid w:val="00B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4C70"/>
  <w15:docId w15:val="{0CA51467-096F-4F2C-88BD-46F45FF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4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987" w:hanging="327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 Procesos de institucionalización de la ID-TD en la educación superior.docx</dc:title>
  <cp:lastModifiedBy>Pablo Salvador Riveros Argel (priveros)</cp:lastModifiedBy>
  <cp:revision>2</cp:revision>
  <dcterms:created xsi:type="dcterms:W3CDTF">2024-07-20T14:33:00Z</dcterms:created>
  <dcterms:modified xsi:type="dcterms:W3CDTF">2024-07-20T14:35:00Z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